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b/>
          <w:color w:val="191919"/>
          <w:sz w:val="42"/>
          <w:szCs w:val="42"/>
        </w:rPr>
      </w:pPr>
      <w:r>
        <w:rPr>
          <w:b/>
          <w:i w:val="0"/>
          <w:caps w:val="0"/>
          <w:color w:val="191919"/>
          <w:spacing w:val="0"/>
          <w:sz w:val="42"/>
          <w:szCs w:val="42"/>
          <w:bdr w:val="none" w:color="auto" w:sz="0" w:space="0"/>
          <w:shd w:val="clear" w:fill="FFFFFF"/>
        </w:rPr>
        <w:t>工商总局关于公布规范性文件 清理结果的公告 工商办字〔2017〕205号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Arial" w:hAnsi="Arial" w:eastAsia="Arial" w:cs="Arial"/>
          <w:i w:val="0"/>
          <w:caps w:val="0"/>
          <w:color w:val="999999"/>
          <w:spacing w:val="0"/>
          <w:sz w:val="21"/>
          <w:szCs w:val="21"/>
        </w:rPr>
      </w:pPr>
      <w:r>
        <w:rPr>
          <w:rFonts w:hint="default" w:ascii="Arial" w:hAnsi="Arial" w:eastAsia="Arial" w:cs="Arial"/>
          <w:i w:val="0"/>
          <w:caps w:val="0"/>
          <w:color w:val="999999"/>
          <w:spacing w:val="0"/>
          <w:kern w:val="0"/>
          <w:sz w:val="21"/>
          <w:szCs w:val="21"/>
          <w:bdr w:val="none" w:color="auto" w:sz="0" w:space="0"/>
          <w:shd w:val="clear" w:fill="FFFFFF"/>
          <w:lang w:val="en-US" w:eastAsia="zh-CN" w:bidi="ar"/>
        </w:rPr>
        <w:t>2018-06-27 10:11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sz w:val="24"/>
          <w:szCs w:val="24"/>
        </w:rPr>
      </w:pPr>
      <w:r>
        <w:rPr>
          <w:sz w:val="24"/>
          <w:szCs w:val="24"/>
          <w:bdr w:val="none" w:color="auto" w:sz="0" w:space="0"/>
        </w:rPr>
        <w:t>工商总局关于公布规范性文件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sz w:val="24"/>
          <w:szCs w:val="24"/>
        </w:rPr>
      </w:pPr>
      <w:r>
        <w:rPr>
          <w:sz w:val="24"/>
          <w:szCs w:val="24"/>
          <w:bdr w:val="none" w:color="auto" w:sz="0" w:space="0"/>
        </w:rPr>
        <w:t>清理结果的公告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sz w:val="24"/>
          <w:szCs w:val="24"/>
        </w:rPr>
      </w:pPr>
      <w:r>
        <w:rPr>
          <w:sz w:val="24"/>
          <w:szCs w:val="24"/>
          <w:bdr w:val="none" w:color="auto" w:sz="0" w:space="0"/>
        </w:rPr>
        <w:t>工商办字〔2017〕205号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bdr w:val="none" w:color="auto" w:sz="0" w:space="0"/>
        </w:rPr>
        <w:t>为深入推进“放管服”改革，确保各项改革措施有效落实，根据《国务院办公厅关于进一步做好“放管服”涉及规章和规范性文件清理工作的通知》（国办发〔2017〕40号）的要求，工商总局对截至2016底印发的规范性文件再次进行认真清理，对照国务院改革决策和根据国务院改革决策已修改的法律、法规，决定废止26件与“放管服”改革政策不一致的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bdr w:val="none" w:color="auto" w:sz="0" w:space="0"/>
        </w:rPr>
        <w:t>现将工商总局决定保留继续有效的306件和决定废止失效的26件规范性文件目录予以公布。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0" w:firstLineChars="3000"/>
        <w:rPr>
          <w:sz w:val="24"/>
          <w:szCs w:val="24"/>
        </w:rPr>
      </w:pPr>
      <w:bookmarkStart w:id="0" w:name="_GoBack"/>
      <w:bookmarkEnd w:id="0"/>
      <w:r>
        <w:rPr>
          <w:sz w:val="24"/>
          <w:szCs w:val="24"/>
          <w:bdr w:val="none" w:color="auto" w:sz="0" w:space="0"/>
        </w:rPr>
        <w:t>工商总局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right="0" w:firstLine="5760" w:firstLineChars="2400"/>
        <w:rPr>
          <w:sz w:val="24"/>
          <w:szCs w:val="24"/>
        </w:rPr>
      </w:pPr>
      <w:r>
        <w:rPr>
          <w:sz w:val="24"/>
          <w:szCs w:val="24"/>
          <w:bdr w:val="none" w:color="auto" w:sz="0" w:space="0"/>
        </w:rPr>
        <w:t>2017年11月8日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rPr>
          <w:sz w:val="24"/>
          <w:szCs w:val="24"/>
        </w:rPr>
      </w:pPr>
      <w:r>
        <w:rPr>
          <w:sz w:val="24"/>
          <w:szCs w:val="24"/>
          <w:bdr w:val="none" w:color="auto" w:sz="0" w:space="0"/>
        </w:rPr>
        <w:t>工商总局规范性文件清理结果目录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二、废止的规范性文件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（一）市场规范管理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1.工商总局关于“守合同重信用”企业公示工作的若干意见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工商市字〔2014〕223号 2014.12.17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2.工商总局关于做好2014～2015年度“守合同重信用”企业公示工作的通知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工商市字〔2015〕219号 2015.12.23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3.工商总局关于开展2016年红盾护农行动的通知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工商市字〔2016〕11号 2016.01.19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4.工商总局关于印发2016网络市场监管专项行动方案的通知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工商办字〔2016〕87号 2016.05.04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（二）个体私营经济监管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5.国家工商行政管理总局关于印发《个体工商户、个人独资企业、合伙企业登记申请材料及格式规范》的通知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工商个字〔2004〕118号 2004.7.30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6.国家工商行政管理总局关于印发《港澳居民在内地申办个体工商户登记管理工作的若干意见》的通知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工商个字〔2004〕190号 2004.11.19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7.国家工商行政管理总局关于港澳居民在内地设立个体工商户经营范围进一步放宽问题的通知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工商个字〔2005〕189号 2005.12.8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8.国家工商行政管理总局关于进一步放宽港澳居民个体工商户经营范围问题的通知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工商个字〔2006〕196号 2006.10.25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9.国家工商行政管理总局关于允许港澳居民个体工商户从事计算机服务业、软件业等行业的通知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工商个字〔2007〕205号 2007.9.25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10.国家工商行政管理总局关于允许港澳居民个体工商户从事建筑物清洁服务和广告制作的通知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工商个字〔2008〕256号 2008.12.4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11.国家工商行政管理总局关于允许港澳居民个体工商户从事个体诊所等行业的通知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工商个字〔2009〕122号 2009.6.19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12.国家工商行政管理总局关于允许港澳居民个体工商户从事婚姻服务（不含婚介服务）等行业的通知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工商个字〔2010〕151号 2010.7.27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13.国家工商行政管理总局关于印发《个体工商户登记文书格式规范》的通知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工商个字〔2011〕201号 2011.9.30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14.国家工商行政管理总局关于进一步放宽港澳居民个体工商户经营范围、从业人员及营业面积规定的通知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工商个字〔2012〕41号 2012.3.13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15.工商总局关于进一步放宽港澳居民个体工商户经营范围、从业人员及营业面积等问题的通知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工商个字〔2012〕164号 2012.9.14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16.工商总局关于贯彻落实内地与香港、澳门签署有关协议，做好在广东省进一步放宽港澳居民个体户经营范围工作的通知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工商个字〔2015〕26号 2015.2.15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（三）广告监管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17.工商总局 国家统计局关于认真做好广告业统计工作的通知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工商广字〔2012〕157号 2012.8.29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（四）消费者权益保护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18.工商总局关于认真做好2016年流通领域商品质量抽查检测工作的通知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工商消字〔2016〕17号 2016.1.28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19. 工商总局关于开展2016年红盾质量维权行动的通知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工商消字〔2016〕66号 2016.4.19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（五）商标注册管理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20.国家工商行政管理总局关于卷烟包装标识调整后商标执法工作中有关问题的通知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工商标字〔2008〕204号 2008.9.21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21.国家工商行政管理总局关于执行《商标注册用商品和服务国际分类》第十版的公告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工商标字〔2011〕247号 2011.12.2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22.工商总局关于依法公开制售假冒伪劣产品和侵犯知识产权行政处罚案件信息的意见（试行）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工商标字〔2014〕110号 2014.6.3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23.工商总局关于印发《2015年全国工商系统落实&lt;中国制造海外形象维护“清风”行动方案&gt;的工作安排》的通知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工商标字〔2015〕79号 2015.5.27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24.工商总局关于开展保护“迪士尼”注册商标专用权专项行动的通知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工商标字〔2015〕170号 2015.10.19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（六）企业（外资）注册、监管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25.国家工商行政管理总局、公安部关于进一步加强外国企业常驻代表机构登记管理的通知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工商外企字〔2010〕4号 2010.1.4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26.国家工商行政管理总局关于贯彻落实《国务院关于加强道路交通安全工作的意见》的通知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工商企字〔2012〕153号 2012.8.30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F3FCA"/>
    <w:rsid w:val="6F6F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2020-08-07T12:21:00Z</dcterms:created>
  <dc:creator>福建万祥招标代理有限公司</dc:creator>
  <cp:lastModifiedBy>福建万祥招标代理有限公司</cp:lastModifiedBy>
  <dcterms:modified xsi:type="dcterms:W3CDTF">2020-08-07T12:23:02Z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